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附件</w:t>
      </w:r>
      <w:r>
        <w:rPr>
          <w:rFonts w:hint="eastAsia" w:ascii="仿宋_GB2312" w:hAnsi="宋体" w:eastAsia="仿宋_GB2312" w:cs="宋体"/>
          <w:b/>
          <w:bCs/>
          <w:kern w:val="0"/>
          <w:sz w:val="32"/>
          <w:szCs w:val="32"/>
          <w:lang w:val="en-US" w:eastAsia="zh-CN"/>
        </w:rPr>
        <w:t>5</w:t>
      </w:r>
      <w:r>
        <w:rPr>
          <w:rFonts w:hint="eastAsia" w:ascii="仿宋_GB2312" w:hAnsi="宋体" w:eastAsia="仿宋_GB2312" w:cs="宋体"/>
          <w:b/>
          <w:bCs/>
          <w:kern w:val="0"/>
          <w:sz w:val="32"/>
          <w:szCs w:val="32"/>
        </w:rPr>
        <w:t>：</w:t>
      </w:r>
    </w:p>
    <w:p>
      <w:pPr>
        <w:keepNext w:val="0"/>
        <w:keepLines w:val="0"/>
        <w:pageBreakBefore w:val="0"/>
        <w:widowControl w:val="0"/>
        <w:kinsoku/>
        <w:wordWrap/>
        <w:overflowPunct/>
        <w:topLinePunct w:val="0"/>
        <w:autoSpaceDE/>
        <w:autoSpaceDN/>
        <w:bidi w:val="0"/>
        <w:jc w:val="center"/>
        <w:textAlignment w:val="auto"/>
        <w:rPr>
          <w:rFonts w:hint="eastAsia" w:ascii="方正小标宋简体" w:hAnsi="方正小标宋简体" w:eastAsia="方正小标宋简体" w:cs="Times New Roman"/>
          <w:color w:val="auto"/>
          <w:sz w:val="36"/>
          <w:szCs w:val="36"/>
          <w:lang w:eastAsia="zh-CN"/>
        </w:rPr>
      </w:pPr>
      <w:r>
        <w:rPr>
          <w:rFonts w:hint="eastAsia" w:ascii="方正小标宋简体" w:hAnsi="方正小标宋简体" w:eastAsia="方正小标宋简体" w:cs="Times New Roman"/>
          <w:color w:val="auto"/>
          <w:sz w:val="36"/>
          <w:szCs w:val="36"/>
        </w:rPr>
        <w:t>宁波市市政行业协会20</w:t>
      </w:r>
      <w:r>
        <w:rPr>
          <w:rFonts w:hint="eastAsia" w:ascii="方正小标宋简体" w:hAnsi="方正小标宋简体" w:eastAsia="方正小标宋简体" w:cs="Times New Roman"/>
          <w:color w:val="auto"/>
          <w:sz w:val="36"/>
          <w:szCs w:val="36"/>
          <w:lang w:val="en-US" w:eastAsia="zh-CN"/>
        </w:rPr>
        <w:t>22-2023</w:t>
      </w:r>
      <w:r>
        <w:rPr>
          <w:rFonts w:hint="eastAsia" w:ascii="方正小标宋简体" w:hAnsi="方正小标宋简体" w:eastAsia="方正小标宋简体" w:cs="Times New Roman"/>
          <w:color w:val="auto"/>
          <w:sz w:val="36"/>
          <w:szCs w:val="36"/>
        </w:rPr>
        <w:t>年度</w:t>
      </w:r>
      <w:r>
        <w:rPr>
          <w:rFonts w:hint="eastAsia" w:ascii="方正小标宋简体" w:hAnsi="方正小标宋简体" w:eastAsia="方正小标宋简体" w:cs="Times New Roman"/>
          <w:color w:val="auto"/>
          <w:sz w:val="36"/>
          <w:szCs w:val="36"/>
          <w:lang w:eastAsia="zh-CN"/>
        </w:rPr>
        <w:t>新入会单位名单</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00"/>
        <w:gridCol w:w="2462"/>
        <w:gridCol w:w="1875"/>
        <w:gridCol w:w="1600"/>
        <w:gridCol w:w="67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7" w:hRule="atLeast"/>
          <w:jc w:val="center"/>
        </w:trPr>
        <w:tc>
          <w:tcPr>
            <w:tcW w:w="900" w:type="dxa"/>
            <w:vAlign w:val="center"/>
          </w:tcPr>
          <w:p>
            <w:pPr>
              <w:jc w:val="center"/>
              <w:rPr>
                <w:rFonts w:hint="eastAsia" w:ascii="仿宋_GB2312" w:hAnsi="宋体" w:eastAsia="仿宋_GB2312" w:cs="宋体"/>
                <w:b/>
                <w:color w:val="auto"/>
                <w:kern w:val="0"/>
                <w:sz w:val="32"/>
                <w:szCs w:val="32"/>
                <w:lang w:val="en-US" w:eastAsia="zh-CN" w:bidi="ar-SA"/>
              </w:rPr>
            </w:pPr>
            <w:r>
              <w:rPr>
                <w:rFonts w:hint="eastAsia" w:ascii="仿宋_GB2312" w:hAnsi="宋体" w:eastAsia="仿宋_GB2312" w:cs="宋体"/>
                <w:b/>
                <w:color w:val="auto"/>
                <w:kern w:val="0"/>
                <w:sz w:val="32"/>
                <w:szCs w:val="32"/>
                <w:lang w:val="en-US" w:eastAsia="zh-CN" w:bidi="ar-SA"/>
              </w:rPr>
              <w:t>序号</w:t>
            </w:r>
          </w:p>
        </w:tc>
        <w:tc>
          <w:tcPr>
            <w:tcW w:w="2462" w:type="dxa"/>
            <w:vAlign w:val="center"/>
          </w:tcPr>
          <w:p>
            <w:pPr>
              <w:jc w:val="center"/>
              <w:rPr>
                <w:rFonts w:hint="eastAsia" w:ascii="仿宋_GB2312" w:hAnsi="宋体" w:eastAsia="仿宋_GB2312" w:cs="宋体"/>
                <w:b/>
                <w:color w:val="auto"/>
                <w:kern w:val="0"/>
                <w:sz w:val="32"/>
                <w:szCs w:val="32"/>
                <w:lang w:val="en-US" w:eastAsia="zh-CN" w:bidi="ar-SA"/>
              </w:rPr>
            </w:pPr>
            <w:r>
              <w:rPr>
                <w:rFonts w:hint="eastAsia" w:ascii="仿宋_GB2312" w:hAnsi="宋体" w:eastAsia="仿宋_GB2312" w:cs="宋体"/>
                <w:b/>
                <w:color w:val="auto"/>
                <w:kern w:val="0"/>
                <w:sz w:val="32"/>
                <w:szCs w:val="32"/>
                <w:lang w:val="en-US" w:eastAsia="zh-CN" w:bidi="ar-SA"/>
              </w:rPr>
              <w:t>单位名称</w:t>
            </w:r>
          </w:p>
        </w:tc>
        <w:tc>
          <w:tcPr>
            <w:tcW w:w="1875" w:type="dxa"/>
            <w:vAlign w:val="center"/>
          </w:tcPr>
          <w:p>
            <w:pPr>
              <w:jc w:val="center"/>
              <w:rPr>
                <w:rFonts w:hint="eastAsia" w:ascii="仿宋_GB2312" w:hAnsi="宋体" w:eastAsia="仿宋_GB2312" w:cs="宋体"/>
                <w:b/>
                <w:color w:val="auto"/>
                <w:kern w:val="0"/>
                <w:sz w:val="32"/>
                <w:szCs w:val="32"/>
                <w:lang w:val="en-US" w:eastAsia="zh-CN" w:bidi="ar-SA"/>
              </w:rPr>
            </w:pPr>
            <w:r>
              <w:rPr>
                <w:rFonts w:hint="eastAsia" w:ascii="仿宋_GB2312" w:hAnsi="宋体" w:eastAsia="仿宋_GB2312" w:cs="宋体"/>
                <w:b/>
                <w:color w:val="auto"/>
                <w:kern w:val="0"/>
                <w:sz w:val="32"/>
                <w:szCs w:val="32"/>
                <w:lang w:val="en-US" w:eastAsia="zh-CN" w:bidi="ar-SA"/>
              </w:rPr>
              <w:t>资质</w:t>
            </w:r>
          </w:p>
        </w:tc>
        <w:tc>
          <w:tcPr>
            <w:tcW w:w="1600" w:type="dxa"/>
            <w:vAlign w:val="center"/>
          </w:tcPr>
          <w:p>
            <w:pPr>
              <w:jc w:val="center"/>
              <w:rPr>
                <w:rFonts w:hint="eastAsia" w:ascii="仿宋_GB2312" w:hAnsi="宋体" w:eastAsia="仿宋_GB2312" w:cs="宋体"/>
                <w:b/>
                <w:color w:val="auto"/>
                <w:kern w:val="0"/>
                <w:sz w:val="32"/>
                <w:szCs w:val="32"/>
                <w:lang w:val="en-US" w:eastAsia="zh-CN" w:bidi="ar-SA"/>
              </w:rPr>
            </w:pPr>
            <w:r>
              <w:rPr>
                <w:rFonts w:hint="eastAsia" w:ascii="仿宋_GB2312" w:hAnsi="宋体" w:eastAsia="仿宋_GB2312" w:cs="宋体"/>
                <w:b/>
                <w:color w:val="auto"/>
                <w:kern w:val="0"/>
                <w:sz w:val="32"/>
                <w:szCs w:val="32"/>
                <w:lang w:val="en-US" w:eastAsia="zh-CN" w:bidi="ar-SA"/>
              </w:rPr>
              <w:t>法人代表</w:t>
            </w:r>
          </w:p>
        </w:tc>
        <w:tc>
          <w:tcPr>
            <w:tcW w:w="6799" w:type="dxa"/>
            <w:vAlign w:val="center"/>
          </w:tcPr>
          <w:p>
            <w:pPr>
              <w:jc w:val="center"/>
              <w:rPr>
                <w:rFonts w:hint="eastAsia" w:ascii="仿宋_GB2312" w:hAnsi="宋体" w:eastAsia="仿宋_GB2312" w:cs="宋体"/>
                <w:b/>
                <w:color w:val="auto"/>
                <w:kern w:val="0"/>
                <w:sz w:val="32"/>
                <w:szCs w:val="32"/>
                <w:lang w:val="en-US" w:eastAsia="zh-CN" w:bidi="ar-SA"/>
              </w:rPr>
            </w:pPr>
            <w:r>
              <w:rPr>
                <w:rFonts w:hint="eastAsia" w:ascii="仿宋_GB2312" w:hAnsi="宋体" w:eastAsia="仿宋_GB2312" w:cs="宋体"/>
                <w:b/>
                <w:color w:val="auto"/>
                <w:kern w:val="0"/>
                <w:sz w:val="32"/>
                <w:szCs w:val="32"/>
                <w:lang w:val="en-US" w:eastAsia="zh-CN" w:bidi="ar-SA"/>
              </w:rPr>
              <w:t>单位基本情况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3" w:hRule="atLeast"/>
          <w:jc w:val="center"/>
        </w:trPr>
        <w:tc>
          <w:tcPr>
            <w:tcW w:w="900" w:type="dxa"/>
            <w:vAlign w:val="center"/>
          </w:tcPr>
          <w:p>
            <w:pPr>
              <w:keepNext w:val="0"/>
              <w:keepLines w:val="0"/>
              <w:pageBreakBefore w:val="0"/>
              <w:widowControl w:val="0"/>
              <w:kinsoku/>
              <w:wordWrap/>
              <w:overflowPunct/>
              <w:topLinePunct w:val="0"/>
              <w:autoSpaceDE/>
              <w:autoSpaceDN/>
              <w:bidi w:val="0"/>
              <w:adjustRightInd w:val="0"/>
              <w:snapToGrid w:val="0"/>
              <w:ind w:firstLine="320" w:firstLineChars="1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w:t>
            </w:r>
          </w:p>
        </w:tc>
        <w:tc>
          <w:tcPr>
            <w:tcW w:w="2462"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中国建筑第四工程局有限公司</w:t>
            </w:r>
          </w:p>
        </w:tc>
        <w:tc>
          <w:tcPr>
            <w:tcW w:w="187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市政特级</w:t>
            </w:r>
          </w:p>
        </w:tc>
        <w:tc>
          <w:tcPr>
            <w:tcW w:w="160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易文权</w:t>
            </w:r>
          </w:p>
        </w:tc>
        <w:tc>
          <w:tcPr>
            <w:tcW w:w="6799" w:type="dxa"/>
            <w:vAlign w:val="center"/>
          </w:tcPr>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中国建筑第四工程局有限公司是世界500强企业“中国建筑”旗下大型公司，A股上市企业“中国建筑”子企业，中央驻粤大型综合投资、建设集团。</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注册地址：</w:t>
            </w:r>
            <w:r>
              <w:rPr>
                <w:rFonts w:hint="eastAsia" w:ascii="仿宋_GB2312" w:hAnsi="宋体" w:eastAsia="仿宋_GB2312" w:cs="宋体"/>
                <w:color w:val="auto"/>
                <w:kern w:val="0"/>
                <w:sz w:val="32"/>
                <w:szCs w:val="32"/>
                <w:lang w:eastAsia="zh-CN"/>
              </w:rPr>
              <w:t>广东省</w:t>
            </w:r>
            <w:r>
              <w:rPr>
                <w:rFonts w:hint="eastAsia" w:ascii="仿宋_GB2312" w:hAnsi="宋体" w:eastAsia="仿宋_GB2312" w:cs="宋体"/>
                <w:color w:val="auto"/>
                <w:kern w:val="0"/>
                <w:sz w:val="32"/>
                <w:szCs w:val="32"/>
              </w:rPr>
              <w:t>广州市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3" w:hRule="atLeast"/>
          <w:jc w:val="center"/>
        </w:trPr>
        <w:tc>
          <w:tcPr>
            <w:tcW w:w="900" w:type="dxa"/>
            <w:vAlign w:val="center"/>
          </w:tcPr>
          <w:p>
            <w:pPr>
              <w:keepNext w:val="0"/>
              <w:keepLines w:val="0"/>
              <w:pageBreakBefore w:val="0"/>
              <w:widowControl w:val="0"/>
              <w:kinsoku/>
              <w:wordWrap/>
              <w:overflowPunct/>
              <w:topLinePunct w:val="0"/>
              <w:autoSpaceDE/>
              <w:autoSpaceDN/>
              <w:bidi w:val="0"/>
              <w:adjustRightInd w:val="0"/>
              <w:snapToGrid w:val="0"/>
              <w:ind w:firstLine="320" w:firstLineChars="1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w:t>
            </w:r>
          </w:p>
        </w:tc>
        <w:tc>
          <w:tcPr>
            <w:tcW w:w="2462"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中交一公局集团有限公司</w:t>
            </w:r>
          </w:p>
        </w:tc>
        <w:tc>
          <w:tcPr>
            <w:tcW w:w="187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市政壹级</w:t>
            </w:r>
          </w:p>
        </w:tc>
        <w:tc>
          <w:tcPr>
            <w:tcW w:w="160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韩国明</w:t>
            </w:r>
          </w:p>
        </w:tc>
        <w:tc>
          <w:tcPr>
            <w:tcW w:w="6799" w:type="dxa"/>
            <w:vAlign w:val="center"/>
          </w:tcPr>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中交一公局集团有限公司是世界500强企业中国交通建设集团有限公司的核心企业，是行业领先的集咨询规划、投资融资、设计建造、管理运营为一体的大型基础设施综合服务商。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注册地址：北京市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6" w:hRule="atLeast"/>
          <w:jc w:val="center"/>
        </w:trPr>
        <w:tc>
          <w:tcPr>
            <w:tcW w:w="900" w:type="dxa"/>
            <w:vAlign w:val="center"/>
          </w:tcPr>
          <w:p>
            <w:pPr>
              <w:keepNext w:val="0"/>
              <w:keepLines w:val="0"/>
              <w:pageBreakBefore w:val="0"/>
              <w:widowControl w:val="0"/>
              <w:kinsoku/>
              <w:wordWrap/>
              <w:overflowPunct/>
              <w:topLinePunct w:val="0"/>
              <w:autoSpaceDE/>
              <w:autoSpaceDN/>
              <w:bidi w:val="0"/>
              <w:adjustRightInd w:val="0"/>
              <w:snapToGrid w:val="0"/>
              <w:ind w:firstLine="320" w:firstLineChars="1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w:t>
            </w:r>
          </w:p>
        </w:tc>
        <w:tc>
          <w:tcPr>
            <w:tcW w:w="2462"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中铁隧道集团机电工程有限公司</w:t>
            </w:r>
          </w:p>
        </w:tc>
        <w:tc>
          <w:tcPr>
            <w:tcW w:w="187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机电总承包壹级</w:t>
            </w:r>
          </w:p>
        </w:tc>
        <w:tc>
          <w:tcPr>
            <w:tcW w:w="160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陈洪光</w:t>
            </w:r>
          </w:p>
        </w:tc>
        <w:tc>
          <w:tcPr>
            <w:tcW w:w="6799" w:type="dxa"/>
            <w:vAlign w:val="center"/>
          </w:tcPr>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铁隧道集团机电工程有限公司是中铁隧道局集团有限公司的全资子公司，为河南省建筑施工类重点培育企业，洛阳市十佳建筑施工企业、重点扶持建筑业企业。现公司具有机电工程施工总承包一级、建筑机电安装工程专业承包一级、建筑装修装饰工程专业承包一级、消防设施工程专业承包一级、环保工程专业承包一级、电子与智能化工程专业承包一级等六项一级资质，市政公用工程、建筑工程、通信工程、电力工程施工总承包等九项二三级资质，年施工能力15亿元以上。</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注册地址：河南</w:t>
            </w:r>
            <w:r>
              <w:rPr>
                <w:rFonts w:hint="eastAsia" w:ascii="仿宋_GB2312" w:hAnsi="宋体" w:eastAsia="仿宋_GB2312" w:cs="宋体"/>
                <w:color w:val="auto"/>
                <w:kern w:val="0"/>
                <w:sz w:val="32"/>
                <w:szCs w:val="32"/>
                <w:lang w:eastAsia="zh-CN"/>
              </w:rPr>
              <w:t>省</w:t>
            </w:r>
            <w:r>
              <w:rPr>
                <w:rFonts w:hint="eastAsia" w:ascii="仿宋_GB2312" w:hAnsi="宋体" w:eastAsia="仿宋_GB2312" w:cs="宋体"/>
                <w:color w:val="auto"/>
                <w:kern w:val="0"/>
                <w:sz w:val="32"/>
                <w:szCs w:val="32"/>
              </w:rPr>
              <w:t>洛阳</w:t>
            </w:r>
            <w:r>
              <w:rPr>
                <w:rFonts w:hint="eastAsia" w:ascii="仿宋_GB2312" w:hAnsi="宋体" w:eastAsia="仿宋_GB2312" w:cs="宋体"/>
                <w:color w:val="auto"/>
                <w:kern w:val="0"/>
                <w:sz w:val="32"/>
                <w:szCs w:val="32"/>
                <w:lang w:eastAsia="zh-CN"/>
              </w:rPr>
              <w:t>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69" w:hRule="atLeast"/>
          <w:jc w:val="center"/>
        </w:trPr>
        <w:tc>
          <w:tcPr>
            <w:tcW w:w="900" w:type="dxa"/>
            <w:vAlign w:val="center"/>
          </w:tcPr>
          <w:p>
            <w:pPr>
              <w:keepNext w:val="0"/>
              <w:keepLines w:val="0"/>
              <w:pageBreakBefore w:val="0"/>
              <w:widowControl w:val="0"/>
              <w:kinsoku/>
              <w:wordWrap/>
              <w:overflowPunct/>
              <w:topLinePunct w:val="0"/>
              <w:autoSpaceDE/>
              <w:autoSpaceDN/>
              <w:bidi w:val="0"/>
              <w:adjustRightInd w:val="0"/>
              <w:snapToGrid w:val="0"/>
              <w:ind w:firstLine="320" w:firstLineChars="1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w:t>
            </w:r>
          </w:p>
        </w:tc>
        <w:tc>
          <w:tcPr>
            <w:tcW w:w="2462"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浙江卓航建设有限公司</w:t>
            </w:r>
          </w:p>
        </w:tc>
        <w:tc>
          <w:tcPr>
            <w:tcW w:w="187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市政壹级</w:t>
            </w:r>
          </w:p>
        </w:tc>
        <w:tc>
          <w:tcPr>
            <w:tcW w:w="160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应利土</w:t>
            </w:r>
          </w:p>
        </w:tc>
        <w:tc>
          <w:tcPr>
            <w:tcW w:w="6799" w:type="dxa"/>
            <w:vAlign w:val="center"/>
          </w:tcPr>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浙江卓航建设有限公司于2022年3月，是</w:t>
            </w:r>
            <w:r>
              <w:rPr>
                <w:rFonts w:hint="eastAsia" w:ascii="仿宋_GB2312" w:hAnsi="宋体" w:eastAsia="仿宋_GB2312" w:cs="宋体"/>
                <w:color w:val="auto"/>
                <w:kern w:val="0"/>
                <w:sz w:val="32"/>
                <w:szCs w:val="32"/>
                <w:lang w:eastAsia="zh-CN"/>
              </w:rPr>
              <w:t>前湾</w:t>
            </w:r>
            <w:r>
              <w:rPr>
                <w:rFonts w:hint="eastAsia" w:ascii="仿宋_GB2312" w:hAnsi="宋体" w:eastAsia="仿宋_GB2312" w:cs="宋体"/>
                <w:color w:val="auto"/>
                <w:kern w:val="0"/>
                <w:sz w:val="32"/>
                <w:szCs w:val="32"/>
              </w:rPr>
              <w:t>新区引进的一家一级市政公用工程施工总承包私有独资企业。企业从事市政道路、桥梁、综合管线、污水处理、绿化等工程。</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注册地：</w:t>
            </w:r>
            <w:r>
              <w:rPr>
                <w:rFonts w:hint="eastAsia" w:ascii="仿宋_GB2312" w:hAnsi="宋体" w:eastAsia="仿宋_GB2312" w:cs="宋体"/>
                <w:color w:val="auto"/>
                <w:kern w:val="0"/>
                <w:sz w:val="32"/>
                <w:szCs w:val="32"/>
              </w:rPr>
              <w:t>宁波市</w:t>
            </w:r>
            <w:r>
              <w:rPr>
                <w:rFonts w:hint="eastAsia" w:ascii="仿宋_GB2312" w:hAnsi="宋体" w:eastAsia="仿宋_GB2312" w:cs="宋体"/>
                <w:color w:val="auto"/>
                <w:kern w:val="0"/>
                <w:sz w:val="32"/>
                <w:szCs w:val="32"/>
                <w:lang w:eastAsia="zh-CN"/>
              </w:rPr>
              <w:t>前</w:t>
            </w:r>
            <w:r>
              <w:rPr>
                <w:rFonts w:hint="eastAsia" w:ascii="仿宋_GB2312" w:hAnsi="宋体" w:eastAsia="仿宋_GB2312" w:cs="宋体"/>
                <w:color w:val="auto"/>
                <w:kern w:val="0"/>
                <w:sz w:val="32"/>
                <w:szCs w:val="32"/>
              </w:rPr>
              <w:t>湾新区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1" w:hRule="atLeast"/>
          <w:jc w:val="center"/>
        </w:trPr>
        <w:tc>
          <w:tcPr>
            <w:tcW w:w="900" w:type="dxa"/>
            <w:vAlign w:val="center"/>
          </w:tcPr>
          <w:p>
            <w:pPr>
              <w:keepNext w:val="0"/>
              <w:keepLines w:val="0"/>
              <w:pageBreakBefore w:val="0"/>
              <w:widowControl w:val="0"/>
              <w:kinsoku/>
              <w:wordWrap/>
              <w:overflowPunct/>
              <w:topLinePunct w:val="0"/>
              <w:autoSpaceDE/>
              <w:autoSpaceDN/>
              <w:bidi w:val="0"/>
              <w:adjustRightInd w:val="0"/>
              <w:snapToGrid w:val="0"/>
              <w:ind w:firstLine="320" w:firstLineChars="1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w:t>
            </w:r>
          </w:p>
        </w:tc>
        <w:tc>
          <w:tcPr>
            <w:tcW w:w="2462"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中铁武汉电气化局集团有限公司</w:t>
            </w:r>
          </w:p>
        </w:tc>
        <w:tc>
          <w:tcPr>
            <w:tcW w:w="187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通信工程施工总承包壹级</w:t>
            </w:r>
          </w:p>
        </w:tc>
        <w:tc>
          <w:tcPr>
            <w:tcW w:w="1600"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毛明华</w:t>
            </w:r>
          </w:p>
        </w:tc>
        <w:tc>
          <w:tcPr>
            <w:tcW w:w="6799" w:type="dxa"/>
            <w:vAlign w:val="center"/>
          </w:tcPr>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中铁武汉电气化局集团有限公司，是世界500强中国中铁股份有限公司旗下成员企业。公司主要从事高速铁路电气化、电力、通信、信号和城市轨道交通、公路交通、机电设备、输变电、楼宇智能化、工业与民用建筑等工程建设，是集科研开发、设计咨询、投融资、工程施工、运营维护、产品制造、商务开发于一体的全产业链综合性国家高新技术企业，具备为业主提供一站式综合服务的能力。</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注册地：</w:t>
            </w:r>
            <w:r>
              <w:rPr>
                <w:rFonts w:hint="eastAsia" w:ascii="仿宋_GB2312" w:hAnsi="宋体" w:eastAsia="仿宋_GB2312" w:cs="宋体"/>
                <w:color w:val="auto"/>
                <w:kern w:val="0"/>
                <w:sz w:val="32"/>
                <w:szCs w:val="32"/>
                <w:lang w:eastAsia="zh-CN"/>
              </w:rPr>
              <w:t>湖北省</w:t>
            </w:r>
            <w:r>
              <w:rPr>
                <w:rFonts w:hint="eastAsia" w:ascii="仿宋_GB2312" w:hAnsi="宋体" w:eastAsia="仿宋_GB2312" w:cs="宋体"/>
                <w:color w:val="auto"/>
                <w:kern w:val="0"/>
                <w:sz w:val="32"/>
                <w:szCs w:val="32"/>
              </w:rPr>
              <w:t>武汉</w:t>
            </w:r>
            <w:r>
              <w:rPr>
                <w:rFonts w:hint="eastAsia" w:ascii="仿宋_GB2312" w:hAnsi="宋体" w:eastAsia="仿宋_GB2312" w:cs="宋体"/>
                <w:color w:val="auto"/>
                <w:kern w:val="0"/>
                <w:sz w:val="32"/>
                <w:szCs w:val="32"/>
                <w:lang w:eastAsia="zh-CN"/>
              </w:rPr>
              <w:t>市</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47" w:hRule="atLeast"/>
          <w:jc w:val="center"/>
        </w:trPr>
        <w:tc>
          <w:tcPr>
            <w:tcW w:w="900" w:type="dxa"/>
            <w:vAlign w:val="center"/>
          </w:tcPr>
          <w:p>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w:t>
            </w:r>
          </w:p>
        </w:tc>
        <w:tc>
          <w:tcPr>
            <w:tcW w:w="2462" w:type="dxa"/>
            <w:vAlign w:val="center"/>
          </w:tcPr>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宁波公路市政设计有限公司</w:t>
            </w:r>
          </w:p>
        </w:tc>
        <w:tc>
          <w:tcPr>
            <w:tcW w:w="187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市政行业（道路工程、桥梁工程、城市隧道工程）专业甲级</w:t>
            </w:r>
          </w:p>
        </w:tc>
        <w:tc>
          <w:tcPr>
            <w:tcW w:w="160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黄善益</w:t>
            </w:r>
          </w:p>
        </w:tc>
        <w:tc>
          <w:tcPr>
            <w:tcW w:w="6799" w:type="dxa"/>
          </w:tcPr>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宁波公路市政设计有限公司始建于1995年，2004年12月由事业单位改制为股份制科技型企业，是一家集工程设计、工程勘察、工程咨询为一体的综合性建筑企业。</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主要从事公路工程、市政工程设计，涉及道路、桥梁、隧道、给排水、交通、岩土、景观等相关专业；地质勘察、工程测绘、物探、航测；课题研究、工程规划、项目方案、项目建议书、可行性研究、交通影响评估、安全性评估、风险评估、后评价等相关业务。</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 xml:space="preserve">注册地：宁波市海曙区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TJkMjcxYmI2YTUyOGM2OTQ4ZGRjYmUyNzdlYzkifQ=="/>
  </w:docVars>
  <w:rsids>
    <w:rsidRoot w:val="00B9421B"/>
    <w:rsid w:val="00005F41"/>
    <w:rsid w:val="00022B67"/>
    <w:rsid w:val="00023EF3"/>
    <w:rsid w:val="00077101"/>
    <w:rsid w:val="000779B6"/>
    <w:rsid w:val="000A39FC"/>
    <w:rsid w:val="00140047"/>
    <w:rsid w:val="00172936"/>
    <w:rsid w:val="0017503B"/>
    <w:rsid w:val="00177692"/>
    <w:rsid w:val="00180D58"/>
    <w:rsid w:val="00180F7A"/>
    <w:rsid w:val="001B7995"/>
    <w:rsid w:val="001E292A"/>
    <w:rsid w:val="00252F50"/>
    <w:rsid w:val="00270B48"/>
    <w:rsid w:val="00272606"/>
    <w:rsid w:val="00294E9E"/>
    <w:rsid w:val="002C6C8C"/>
    <w:rsid w:val="002D6910"/>
    <w:rsid w:val="002D7048"/>
    <w:rsid w:val="002E1984"/>
    <w:rsid w:val="00304001"/>
    <w:rsid w:val="00327CC7"/>
    <w:rsid w:val="00361F92"/>
    <w:rsid w:val="003A270A"/>
    <w:rsid w:val="003D7BC8"/>
    <w:rsid w:val="00400581"/>
    <w:rsid w:val="004156BF"/>
    <w:rsid w:val="00416672"/>
    <w:rsid w:val="00451581"/>
    <w:rsid w:val="00470D2F"/>
    <w:rsid w:val="004C2379"/>
    <w:rsid w:val="004C6C03"/>
    <w:rsid w:val="005A2227"/>
    <w:rsid w:val="005A534A"/>
    <w:rsid w:val="00620515"/>
    <w:rsid w:val="006616AE"/>
    <w:rsid w:val="0067232A"/>
    <w:rsid w:val="0068639C"/>
    <w:rsid w:val="00724BAD"/>
    <w:rsid w:val="00735E02"/>
    <w:rsid w:val="00763927"/>
    <w:rsid w:val="00766725"/>
    <w:rsid w:val="007B193A"/>
    <w:rsid w:val="007F6F96"/>
    <w:rsid w:val="00837412"/>
    <w:rsid w:val="008B3FF6"/>
    <w:rsid w:val="008B763F"/>
    <w:rsid w:val="008C26EE"/>
    <w:rsid w:val="008E36E8"/>
    <w:rsid w:val="00905CC1"/>
    <w:rsid w:val="00954C7D"/>
    <w:rsid w:val="009650C7"/>
    <w:rsid w:val="009C7CF3"/>
    <w:rsid w:val="009F6DF0"/>
    <w:rsid w:val="00A702CB"/>
    <w:rsid w:val="00A74EF5"/>
    <w:rsid w:val="00A74FF0"/>
    <w:rsid w:val="00AA699F"/>
    <w:rsid w:val="00B023C8"/>
    <w:rsid w:val="00B73099"/>
    <w:rsid w:val="00B9421B"/>
    <w:rsid w:val="00BB5D5D"/>
    <w:rsid w:val="00BE4D79"/>
    <w:rsid w:val="00BF4117"/>
    <w:rsid w:val="00BF504C"/>
    <w:rsid w:val="00C04645"/>
    <w:rsid w:val="00C07ECF"/>
    <w:rsid w:val="00C456AA"/>
    <w:rsid w:val="00C47AD6"/>
    <w:rsid w:val="00C512C0"/>
    <w:rsid w:val="00C54043"/>
    <w:rsid w:val="00C8774B"/>
    <w:rsid w:val="00CD6724"/>
    <w:rsid w:val="00CD7853"/>
    <w:rsid w:val="00CE6E8C"/>
    <w:rsid w:val="00CF26C9"/>
    <w:rsid w:val="00D14EFF"/>
    <w:rsid w:val="00D219D9"/>
    <w:rsid w:val="00DC6266"/>
    <w:rsid w:val="00DD098A"/>
    <w:rsid w:val="00E06303"/>
    <w:rsid w:val="00E110DC"/>
    <w:rsid w:val="00EA1338"/>
    <w:rsid w:val="00EB0148"/>
    <w:rsid w:val="00EC3C0F"/>
    <w:rsid w:val="00EF5D06"/>
    <w:rsid w:val="00F35BD8"/>
    <w:rsid w:val="00F51A49"/>
    <w:rsid w:val="00F525AA"/>
    <w:rsid w:val="00F93F31"/>
    <w:rsid w:val="00F9436D"/>
    <w:rsid w:val="00FA73DC"/>
    <w:rsid w:val="00FB12C5"/>
    <w:rsid w:val="00FE3E67"/>
    <w:rsid w:val="3AE0388B"/>
    <w:rsid w:val="6CA479DF"/>
    <w:rsid w:val="7C193962"/>
    <w:rsid w:val="FBDDD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171</Words>
  <Characters>980</Characters>
  <Lines>8</Lines>
  <Paragraphs>2</Paragraphs>
  <TotalTime>1</TotalTime>
  <ScaleCrop>false</ScaleCrop>
  <LinksUpToDate>false</LinksUpToDate>
  <CharactersWithSpaces>1149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2019-03-18T09:26:00Z</dcterms:created>
  <dc:creator>User</dc:creator>
  <cp:lastModifiedBy>nbzjj</cp:lastModifiedBy>
  <dcterms:modified xsi:type="dcterms:W3CDTF">2023-08-24T15:05:11Z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1080309CD30A4953B1BAF0546A16AA2B_13</vt:lpwstr>
  </property>
</Properties>
</file>